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87B" w:rsidRPr="000C7315" w:rsidRDefault="00FA087B" w:rsidP="00FA087B">
      <w:pPr>
        <w:pStyle w:val="berschrift"/>
        <w:widowControl w:val="0"/>
        <w:spacing w:before="480" w:after="240"/>
        <w:ind w:left="720" w:hanging="720"/>
        <w:rPr>
          <w:rFonts w:asciiTheme="minorHAnsi" w:hAnsiTheme="minorHAnsi" w:cstheme="minorHAnsi"/>
        </w:rPr>
      </w:pPr>
      <w:r w:rsidRPr="000C7315">
        <w:rPr>
          <w:rFonts w:asciiTheme="minorHAnsi" w:hAnsiTheme="minorHAnsi" w:cstheme="minorHAnsi"/>
        </w:rPr>
        <w:t>Hinweise zur Zitationsweise</w:t>
      </w:r>
    </w:p>
    <w:p w:rsidR="00FA087B" w:rsidRPr="000C7315" w:rsidRDefault="00FA087B" w:rsidP="00FA087B">
      <w:pPr>
        <w:pStyle w:val="Text"/>
        <w:widowControl w:val="0"/>
        <w:rPr>
          <w:rFonts w:asciiTheme="minorHAnsi" w:hAnsiTheme="minorHAnsi" w:cstheme="minorHAnsi"/>
        </w:rPr>
      </w:pPr>
      <w:r w:rsidRPr="000C7315">
        <w:rPr>
          <w:rFonts w:asciiTheme="minorHAnsi" w:hAnsiTheme="minorHAnsi" w:cstheme="minorHAnsi"/>
        </w:rPr>
        <w:t xml:space="preserve">Das Zitationssystem erfolgt nach dem sogenannten Harvard-System. </w:t>
      </w:r>
    </w:p>
    <w:p w:rsidR="00FA087B" w:rsidRPr="000C7315" w:rsidRDefault="00FA087B" w:rsidP="00FA087B">
      <w:pPr>
        <w:pStyle w:val="Text"/>
        <w:widowControl w:val="0"/>
        <w:rPr>
          <w:rFonts w:asciiTheme="minorHAnsi" w:hAnsiTheme="minorHAnsi" w:cstheme="minorHAnsi"/>
        </w:rPr>
      </w:pPr>
    </w:p>
    <w:p w:rsidR="00FA087B" w:rsidRPr="000C7315" w:rsidRDefault="00FA087B" w:rsidP="00FA087B">
      <w:pPr>
        <w:pStyle w:val="Text"/>
        <w:widowControl w:val="0"/>
        <w:jc w:val="both"/>
        <w:rPr>
          <w:rFonts w:asciiTheme="minorHAnsi" w:hAnsiTheme="minorHAnsi" w:cstheme="minorHAnsi"/>
        </w:rPr>
      </w:pPr>
      <w:r w:rsidRPr="000C7315">
        <w:rPr>
          <w:rFonts w:asciiTheme="minorHAnsi" w:hAnsiTheme="minorHAnsi" w:cstheme="minorHAnsi"/>
        </w:rPr>
        <w:t xml:space="preserve">Zitation im Text: Nach Münch ist die Wissenschaft in die Fänge des Kapitalismus geraten (Münch 1977, vgl. insb. S. 93ff.). „Die Hegemonie der USA in den Wissenschaften ist eine nicht zu bestreitende Tatsache“ (ebd., S. 95). Berger und Luckmann (1987) arbeiten die sozial geteilte Bedeutung des Wissens heraus. „Wahrscheinlich sind alle </w:t>
      </w:r>
      <w:proofErr w:type="gramStart"/>
      <w:r w:rsidRPr="000C7315">
        <w:rPr>
          <w:rFonts w:asciiTheme="minorHAnsi" w:hAnsiTheme="minorHAnsi" w:cstheme="minorHAnsi"/>
        </w:rPr>
        <w:t>Menschen</w:t>
      </w:r>
      <w:proofErr w:type="gramEnd"/>
      <w:r w:rsidRPr="000C7315">
        <w:rPr>
          <w:rFonts w:asciiTheme="minorHAnsi" w:hAnsiTheme="minorHAnsi" w:cstheme="minorHAnsi"/>
        </w:rPr>
        <w:t xml:space="preserve"> wenn sie erst sozialisiert sind, latente ‚Verräter an sich selbst‘“ (ebd., S. 181). [Ohne zu vorige namentliche Nennung der Autoren wäre die richtige Zitation: (Berger/ Luckmann 1987, S. 181).</w:t>
      </w:r>
      <w:r w:rsidR="00743487" w:rsidRPr="000C7315">
        <w:rPr>
          <w:rFonts w:asciiTheme="minorHAnsi" w:hAnsiTheme="minorHAnsi" w:cstheme="minorHAnsi"/>
        </w:rPr>
        <w:t xml:space="preserve"> Ferner: (zur Wissenssoziologie siehe: Berger/ Luckmann 1978; 1998; 2017; Müller 1995)</w:t>
      </w:r>
      <w:proofErr w:type="gramStart"/>
      <w:r w:rsidR="00743487" w:rsidRPr="000C7315">
        <w:rPr>
          <w:rFonts w:asciiTheme="minorHAnsi" w:hAnsiTheme="minorHAnsi" w:cstheme="minorHAnsi"/>
        </w:rPr>
        <w:t>. ]</w:t>
      </w:r>
      <w:proofErr w:type="gramEnd"/>
      <w:r w:rsidR="00743487" w:rsidRPr="000C7315">
        <w:rPr>
          <w:rFonts w:asciiTheme="minorHAnsi" w:hAnsiTheme="minorHAnsi" w:cstheme="minorHAnsi"/>
        </w:rPr>
        <w:t xml:space="preserve"> </w:t>
      </w:r>
    </w:p>
    <w:p w:rsidR="00FA087B" w:rsidRPr="000C7315" w:rsidRDefault="00FA087B" w:rsidP="000C7315">
      <w:pPr>
        <w:pStyle w:val="Text"/>
        <w:widowControl w:val="0"/>
        <w:spacing w:line="240" w:lineRule="auto"/>
        <w:rPr>
          <w:rFonts w:asciiTheme="minorHAnsi" w:hAnsiTheme="minorHAnsi" w:cstheme="minorHAnsi"/>
          <w:sz w:val="20"/>
          <w:szCs w:val="20"/>
        </w:rPr>
      </w:pPr>
    </w:p>
    <w:p w:rsidR="00FA087B" w:rsidRPr="000C7315" w:rsidRDefault="00FA087B" w:rsidP="00FA087B">
      <w:pPr>
        <w:pStyle w:val="Text"/>
        <w:widowControl w:val="0"/>
        <w:jc w:val="both"/>
        <w:rPr>
          <w:rFonts w:asciiTheme="minorHAnsi" w:hAnsiTheme="minorHAnsi" w:cstheme="minorHAnsi"/>
        </w:rPr>
      </w:pPr>
      <w:r w:rsidRPr="000C7315">
        <w:rPr>
          <w:rFonts w:asciiTheme="minorHAnsi" w:hAnsiTheme="minorHAnsi" w:cstheme="minorHAnsi"/>
        </w:rPr>
        <w:t>Abkürzungen: ebd. = ebenda, hier genutzt als derselbe Autor/dieselbe Autorin/ dasselbe Autorenteam desselben Werkes. Ohne Seitenangabe: dieselbe Stelle im Werk, also dieselbe Seite.</w:t>
      </w:r>
    </w:p>
    <w:p w:rsidR="00FA087B" w:rsidRPr="000C7315" w:rsidRDefault="00FA087B" w:rsidP="00FA087B">
      <w:pPr>
        <w:pStyle w:val="Text"/>
        <w:widowControl w:val="0"/>
        <w:rPr>
          <w:rFonts w:asciiTheme="minorHAnsi" w:hAnsiTheme="minorHAnsi" w:cstheme="minorHAnsi"/>
        </w:rPr>
      </w:pPr>
    </w:p>
    <w:p w:rsidR="00FA087B" w:rsidRPr="000C7315" w:rsidRDefault="00FA087B" w:rsidP="00FA087B">
      <w:pPr>
        <w:pStyle w:val="Text"/>
        <w:widowControl w:val="0"/>
        <w:rPr>
          <w:rFonts w:asciiTheme="minorHAnsi" w:hAnsiTheme="minorHAnsi" w:cstheme="minorHAnsi"/>
        </w:rPr>
      </w:pPr>
      <w:r w:rsidRPr="000C7315">
        <w:rPr>
          <w:rFonts w:asciiTheme="minorHAnsi" w:hAnsiTheme="minorHAnsi" w:cstheme="minorHAnsi"/>
        </w:rPr>
        <w:t>Beispiel: für eine Monographie im Literaturverzeichnis:</w:t>
      </w:r>
    </w:p>
    <w:p w:rsidR="00FA087B" w:rsidRPr="000C7315" w:rsidRDefault="00FA087B" w:rsidP="00FA087B">
      <w:pPr>
        <w:pStyle w:val="Text"/>
        <w:widowControl w:val="0"/>
        <w:spacing w:line="240" w:lineRule="auto"/>
        <w:ind w:left="284" w:hanging="284"/>
        <w:rPr>
          <w:rFonts w:asciiTheme="minorHAnsi" w:hAnsiTheme="minorHAnsi" w:cstheme="minorHAnsi"/>
          <w:sz w:val="20"/>
          <w:szCs w:val="20"/>
        </w:rPr>
      </w:pPr>
      <w:r w:rsidRPr="000C7315">
        <w:rPr>
          <w:rFonts w:asciiTheme="minorHAnsi" w:hAnsiTheme="minorHAnsi" w:cstheme="minorHAnsi"/>
          <w:sz w:val="20"/>
          <w:szCs w:val="20"/>
        </w:rPr>
        <w:t xml:space="preserve">Goffman, Erving (1977): </w:t>
      </w:r>
      <w:r w:rsidRPr="000C7315">
        <w:rPr>
          <w:rFonts w:asciiTheme="minorHAnsi" w:hAnsiTheme="minorHAnsi" w:cstheme="minorHAnsi"/>
          <w:i/>
          <w:sz w:val="20"/>
          <w:szCs w:val="20"/>
        </w:rPr>
        <w:t>Rahmenanalyse: ein Versuch über die Organisation von Alltagserfahrungen</w:t>
      </w:r>
      <w:r w:rsidRPr="000C7315">
        <w:rPr>
          <w:rFonts w:asciiTheme="minorHAnsi" w:hAnsiTheme="minorHAnsi" w:cstheme="minorHAnsi"/>
          <w:sz w:val="20"/>
          <w:szCs w:val="20"/>
        </w:rPr>
        <w:t>, Frankfurt a. M.: Suhrkamp.</w:t>
      </w:r>
    </w:p>
    <w:p w:rsidR="00FA087B" w:rsidRPr="000C7315" w:rsidRDefault="00FA087B" w:rsidP="00FA087B">
      <w:pPr>
        <w:pStyle w:val="Text"/>
        <w:widowControl w:val="0"/>
        <w:rPr>
          <w:rFonts w:asciiTheme="minorHAnsi" w:hAnsiTheme="minorHAnsi" w:cstheme="minorHAnsi"/>
        </w:rPr>
      </w:pPr>
    </w:p>
    <w:p w:rsidR="00FA087B" w:rsidRPr="000C7315" w:rsidRDefault="00FA087B" w:rsidP="00FA087B">
      <w:pPr>
        <w:pStyle w:val="Text"/>
        <w:widowControl w:val="0"/>
        <w:rPr>
          <w:rFonts w:asciiTheme="minorHAnsi" w:hAnsiTheme="minorHAnsi" w:cstheme="minorHAnsi"/>
        </w:rPr>
      </w:pPr>
      <w:r w:rsidRPr="000C7315">
        <w:rPr>
          <w:rFonts w:asciiTheme="minorHAnsi" w:hAnsiTheme="minorHAnsi" w:cstheme="minorHAnsi"/>
        </w:rPr>
        <w:t xml:space="preserve">Beispiel: mehrere Publikationen (Buchkapitel und Zeitschriftenaufsatz) im selben Erscheinungsjahr im Literaturverzeichnis: </w:t>
      </w:r>
    </w:p>
    <w:p w:rsidR="00FA087B" w:rsidRPr="000C7315" w:rsidRDefault="00FA087B" w:rsidP="00FA087B">
      <w:pPr>
        <w:pStyle w:val="Text"/>
        <w:widowControl w:val="0"/>
        <w:spacing w:line="240" w:lineRule="auto"/>
        <w:ind w:left="284" w:hanging="284"/>
        <w:rPr>
          <w:rFonts w:asciiTheme="minorHAnsi" w:hAnsiTheme="minorHAnsi" w:cstheme="minorHAnsi"/>
          <w:sz w:val="20"/>
          <w:szCs w:val="20"/>
        </w:rPr>
      </w:pPr>
      <w:r w:rsidRPr="000C7315">
        <w:rPr>
          <w:rFonts w:asciiTheme="minorHAnsi" w:hAnsiTheme="minorHAnsi" w:cstheme="minorHAnsi"/>
          <w:sz w:val="20"/>
          <w:szCs w:val="20"/>
        </w:rPr>
        <w:t xml:space="preserve">Breidenstein, Georg (2004a): Peer Interaktion und Peer Kultur, in: Werner Helsper/ Jeanette Böhme (Hrsg.): </w:t>
      </w:r>
      <w:r w:rsidRPr="000C7315">
        <w:rPr>
          <w:rFonts w:asciiTheme="minorHAnsi" w:hAnsiTheme="minorHAnsi" w:cstheme="minorHAnsi"/>
          <w:i/>
          <w:sz w:val="20"/>
          <w:szCs w:val="20"/>
        </w:rPr>
        <w:t>Handbuch der Schulforschung</w:t>
      </w:r>
      <w:r w:rsidRPr="000C7315">
        <w:rPr>
          <w:rFonts w:asciiTheme="minorHAnsi" w:hAnsiTheme="minorHAnsi" w:cstheme="minorHAnsi"/>
          <w:sz w:val="20"/>
          <w:szCs w:val="20"/>
        </w:rPr>
        <w:t xml:space="preserve">, Wiesbaden: Verlag der Sozialwissenschaften, S. 921-940. </w:t>
      </w:r>
    </w:p>
    <w:p w:rsidR="00FA087B" w:rsidRPr="000C7315" w:rsidRDefault="00FA087B" w:rsidP="00FA087B">
      <w:pPr>
        <w:pStyle w:val="Text"/>
        <w:widowControl w:val="0"/>
        <w:spacing w:line="240" w:lineRule="auto"/>
        <w:ind w:left="284" w:hanging="284"/>
        <w:rPr>
          <w:rFonts w:asciiTheme="minorHAnsi" w:hAnsiTheme="minorHAnsi" w:cstheme="minorHAnsi"/>
          <w:sz w:val="20"/>
          <w:szCs w:val="20"/>
        </w:rPr>
      </w:pPr>
      <w:r w:rsidRPr="000C7315">
        <w:rPr>
          <w:rFonts w:asciiTheme="minorHAnsi" w:hAnsiTheme="minorHAnsi" w:cstheme="minorHAnsi"/>
          <w:sz w:val="20"/>
          <w:szCs w:val="20"/>
        </w:rPr>
        <w:t xml:space="preserve">Breidenstein, Georg (2004b): </w:t>
      </w:r>
      <w:proofErr w:type="spellStart"/>
      <w:r w:rsidRPr="000C7315">
        <w:rPr>
          <w:rFonts w:asciiTheme="minorHAnsi" w:hAnsiTheme="minorHAnsi" w:cstheme="minorHAnsi"/>
          <w:sz w:val="20"/>
          <w:szCs w:val="20"/>
        </w:rPr>
        <w:t>KlassenRäume</w:t>
      </w:r>
      <w:proofErr w:type="spellEnd"/>
      <w:r w:rsidRPr="000C7315">
        <w:rPr>
          <w:rFonts w:asciiTheme="minorHAnsi" w:hAnsiTheme="minorHAnsi" w:cstheme="minorHAnsi"/>
          <w:sz w:val="20"/>
          <w:szCs w:val="20"/>
        </w:rPr>
        <w:t xml:space="preserve"> – Eine Analyse räumlicher Bedingungen und Effekte des Schülerhandelns, in: </w:t>
      </w:r>
      <w:r w:rsidRPr="000C7315">
        <w:rPr>
          <w:rFonts w:asciiTheme="minorHAnsi" w:hAnsiTheme="minorHAnsi" w:cstheme="minorHAnsi"/>
          <w:i/>
          <w:sz w:val="20"/>
          <w:szCs w:val="20"/>
        </w:rPr>
        <w:t>Zeitschrift für qualitative Bildungs-, Beratungs-, und Sozialforschung</w:t>
      </w:r>
      <w:r w:rsidRPr="000C7315">
        <w:rPr>
          <w:rFonts w:asciiTheme="minorHAnsi" w:hAnsiTheme="minorHAnsi" w:cstheme="minorHAnsi"/>
          <w:sz w:val="20"/>
          <w:szCs w:val="20"/>
        </w:rPr>
        <w:t xml:space="preserve"> </w:t>
      </w:r>
      <w:r w:rsidRPr="000C7315">
        <w:rPr>
          <w:rFonts w:asciiTheme="minorHAnsi" w:hAnsiTheme="minorHAnsi" w:cstheme="minorHAnsi"/>
          <w:i/>
          <w:sz w:val="20"/>
          <w:szCs w:val="20"/>
        </w:rPr>
        <w:t>(ZBBS)</w:t>
      </w:r>
      <w:r w:rsidRPr="000C7315">
        <w:rPr>
          <w:rFonts w:asciiTheme="minorHAnsi" w:hAnsiTheme="minorHAnsi" w:cstheme="minorHAnsi"/>
          <w:sz w:val="20"/>
          <w:szCs w:val="20"/>
        </w:rPr>
        <w:t>, Jg. 5, Nr. 1, S. 87-108.</w:t>
      </w:r>
    </w:p>
    <w:p w:rsidR="00FA087B" w:rsidRPr="000C7315" w:rsidRDefault="00FA087B" w:rsidP="00FA087B">
      <w:pPr>
        <w:pStyle w:val="Text"/>
        <w:widowControl w:val="0"/>
        <w:rPr>
          <w:rFonts w:asciiTheme="minorHAnsi" w:hAnsiTheme="minorHAnsi" w:cstheme="minorHAnsi"/>
        </w:rPr>
      </w:pPr>
    </w:p>
    <w:p w:rsidR="00FA087B" w:rsidRPr="000C7315" w:rsidRDefault="00FA087B" w:rsidP="00FA087B">
      <w:pPr>
        <w:pStyle w:val="Text"/>
        <w:widowControl w:val="0"/>
        <w:rPr>
          <w:rFonts w:asciiTheme="minorHAnsi" w:hAnsiTheme="minorHAnsi" w:cstheme="minorHAnsi"/>
        </w:rPr>
      </w:pPr>
      <w:r w:rsidRPr="000C7315">
        <w:rPr>
          <w:rFonts w:asciiTheme="minorHAnsi" w:hAnsiTheme="minorHAnsi" w:cstheme="minorHAnsi"/>
        </w:rPr>
        <w:t>Beispiel: Kapitel in einem Herausgeberwerk im Literaturverzeichnis:</w:t>
      </w:r>
    </w:p>
    <w:p w:rsidR="00FA087B" w:rsidRPr="000C7315" w:rsidRDefault="00FA087B" w:rsidP="00FA087B">
      <w:pPr>
        <w:pStyle w:val="Text"/>
        <w:widowControl w:val="0"/>
        <w:spacing w:line="240" w:lineRule="auto"/>
        <w:ind w:left="284" w:hanging="284"/>
        <w:rPr>
          <w:rFonts w:asciiTheme="minorHAnsi" w:hAnsiTheme="minorHAnsi" w:cstheme="minorHAnsi"/>
          <w:sz w:val="20"/>
          <w:szCs w:val="20"/>
        </w:rPr>
      </w:pPr>
      <w:r w:rsidRPr="000C7315">
        <w:rPr>
          <w:rFonts w:asciiTheme="minorHAnsi" w:hAnsiTheme="minorHAnsi" w:cstheme="minorHAnsi"/>
          <w:sz w:val="20"/>
          <w:szCs w:val="20"/>
        </w:rPr>
        <w:t xml:space="preserve">Göhlich, Michael/ Wagner-Willi, Monika (2001): </w:t>
      </w:r>
      <w:r w:rsidRPr="000C7315">
        <w:rPr>
          <w:rFonts w:asciiTheme="minorHAnsi" w:hAnsiTheme="minorHAnsi" w:cstheme="minorHAnsi"/>
          <w:i/>
          <w:sz w:val="20"/>
          <w:szCs w:val="20"/>
        </w:rPr>
        <w:t>Rituelle Übergänge im Schulalltag</w:t>
      </w:r>
      <w:r w:rsidRPr="000C7315">
        <w:rPr>
          <w:rFonts w:asciiTheme="minorHAnsi" w:hAnsiTheme="minorHAnsi" w:cstheme="minorHAnsi"/>
          <w:sz w:val="20"/>
          <w:szCs w:val="20"/>
        </w:rPr>
        <w:t xml:space="preserve">, in: Christoph Wulf, Birgit Althans, Michael Göhlich, Michael, Stephan Sting, Anja </w:t>
      </w:r>
      <w:proofErr w:type="spellStart"/>
      <w:r w:rsidRPr="000C7315">
        <w:rPr>
          <w:rFonts w:asciiTheme="minorHAnsi" w:hAnsiTheme="minorHAnsi" w:cstheme="minorHAnsi"/>
          <w:sz w:val="20"/>
          <w:szCs w:val="20"/>
        </w:rPr>
        <w:t>Tervooren</w:t>
      </w:r>
      <w:proofErr w:type="spellEnd"/>
      <w:r w:rsidRPr="000C7315">
        <w:rPr>
          <w:rFonts w:asciiTheme="minorHAnsi" w:hAnsiTheme="minorHAnsi" w:cstheme="minorHAnsi"/>
          <w:sz w:val="20"/>
          <w:szCs w:val="20"/>
        </w:rPr>
        <w:t>, M</w:t>
      </w:r>
      <w:r w:rsidR="00213FDF">
        <w:rPr>
          <w:rFonts w:asciiTheme="minorHAnsi" w:hAnsiTheme="minorHAnsi" w:cstheme="minorHAnsi"/>
          <w:sz w:val="20"/>
          <w:szCs w:val="20"/>
        </w:rPr>
        <w:t>on</w:t>
      </w:r>
      <w:bookmarkStart w:id="0" w:name="_GoBack"/>
      <w:bookmarkEnd w:id="0"/>
      <w:r w:rsidR="00213FDF">
        <w:rPr>
          <w:rFonts w:asciiTheme="minorHAnsi" w:hAnsiTheme="minorHAnsi" w:cstheme="minorHAnsi"/>
          <w:sz w:val="20"/>
          <w:szCs w:val="20"/>
        </w:rPr>
        <w:t>ika</w:t>
      </w:r>
      <w:r w:rsidRPr="000C7315">
        <w:rPr>
          <w:rFonts w:asciiTheme="minorHAnsi" w:hAnsiTheme="minorHAnsi" w:cstheme="minorHAnsi"/>
          <w:sz w:val="20"/>
          <w:szCs w:val="20"/>
        </w:rPr>
        <w:t xml:space="preserve"> Wagner-Willi, Jörg </w:t>
      </w:r>
      <w:proofErr w:type="spellStart"/>
      <w:r w:rsidRPr="000C7315">
        <w:rPr>
          <w:rFonts w:asciiTheme="minorHAnsi" w:hAnsiTheme="minorHAnsi" w:cstheme="minorHAnsi"/>
          <w:sz w:val="20"/>
          <w:szCs w:val="20"/>
        </w:rPr>
        <w:t>Zierfas</w:t>
      </w:r>
      <w:proofErr w:type="spellEnd"/>
      <w:r w:rsidRPr="000C7315">
        <w:rPr>
          <w:rFonts w:asciiTheme="minorHAnsi" w:hAnsiTheme="minorHAnsi" w:cstheme="minorHAnsi"/>
          <w:sz w:val="20"/>
          <w:szCs w:val="20"/>
        </w:rPr>
        <w:t xml:space="preserve"> (Hrsg.): </w:t>
      </w:r>
      <w:r w:rsidRPr="000C7315">
        <w:rPr>
          <w:rFonts w:asciiTheme="minorHAnsi" w:hAnsiTheme="minorHAnsi" w:cstheme="minorHAnsi"/>
          <w:i/>
          <w:sz w:val="20"/>
          <w:szCs w:val="20"/>
        </w:rPr>
        <w:t>Das Soziale als Ritual. Zur performativen Bildung von Gemeinschaften</w:t>
      </w:r>
      <w:r w:rsidRPr="000C7315">
        <w:rPr>
          <w:rFonts w:asciiTheme="minorHAnsi" w:hAnsiTheme="minorHAnsi" w:cstheme="minorHAnsi"/>
          <w:sz w:val="20"/>
          <w:szCs w:val="20"/>
        </w:rPr>
        <w:t>, Opladen: Leske + Budrich, S. 119-204.</w:t>
      </w:r>
    </w:p>
    <w:p w:rsidR="00FA087B" w:rsidRPr="000C7315" w:rsidRDefault="00FA087B" w:rsidP="00FA087B">
      <w:pPr>
        <w:pStyle w:val="Text"/>
        <w:widowControl w:val="0"/>
        <w:rPr>
          <w:rFonts w:asciiTheme="minorHAnsi" w:hAnsiTheme="minorHAnsi" w:cstheme="minorHAnsi"/>
        </w:rPr>
      </w:pPr>
    </w:p>
    <w:p w:rsidR="00FA087B" w:rsidRPr="000C7315" w:rsidRDefault="00FA087B" w:rsidP="00FA087B">
      <w:pPr>
        <w:pStyle w:val="Text"/>
        <w:widowControl w:val="0"/>
        <w:rPr>
          <w:rFonts w:asciiTheme="minorHAnsi" w:hAnsiTheme="minorHAnsi" w:cstheme="minorHAnsi"/>
        </w:rPr>
      </w:pPr>
      <w:r w:rsidRPr="000C7315">
        <w:rPr>
          <w:rFonts w:asciiTheme="minorHAnsi" w:hAnsiTheme="minorHAnsi" w:cstheme="minorHAnsi"/>
        </w:rPr>
        <w:t xml:space="preserve">Weitere Hinweise zur Harvard-Zitierweise können Sie Jonas Bahr und Malte Frackmann (2011) entnehmen: </w:t>
      </w:r>
    </w:p>
    <w:p w:rsidR="00FA087B" w:rsidRPr="000C7315" w:rsidRDefault="00FA087B" w:rsidP="00FA087B">
      <w:pPr>
        <w:pStyle w:val="Text"/>
        <w:widowControl w:val="0"/>
        <w:spacing w:line="240" w:lineRule="auto"/>
        <w:ind w:left="284" w:hanging="284"/>
        <w:rPr>
          <w:rFonts w:asciiTheme="minorHAnsi" w:hAnsiTheme="minorHAnsi" w:cstheme="minorHAnsi"/>
          <w:sz w:val="20"/>
          <w:szCs w:val="20"/>
        </w:rPr>
      </w:pPr>
      <w:r w:rsidRPr="000C7315">
        <w:rPr>
          <w:rFonts w:asciiTheme="minorHAnsi" w:hAnsiTheme="minorHAnsi" w:cstheme="minorHAnsi"/>
          <w:sz w:val="20"/>
          <w:szCs w:val="20"/>
        </w:rPr>
        <w:t xml:space="preserve">Bahr, Jonas/ Frackmann, Malte (2011): Richtig zitieren nach der Harvard-Methode. Eine Arbeitshilfe </w:t>
      </w:r>
      <w:proofErr w:type="spellStart"/>
      <w:r w:rsidRPr="000C7315">
        <w:rPr>
          <w:rFonts w:asciiTheme="minorHAnsi" w:hAnsiTheme="minorHAnsi" w:cstheme="minorHAnsi"/>
          <w:sz w:val="20"/>
          <w:szCs w:val="20"/>
        </w:rPr>
        <w:t>für</w:t>
      </w:r>
      <w:proofErr w:type="spellEnd"/>
      <w:r w:rsidRPr="000C7315">
        <w:rPr>
          <w:rFonts w:asciiTheme="minorHAnsi" w:hAnsiTheme="minorHAnsi" w:cstheme="minorHAnsi"/>
          <w:sz w:val="20"/>
          <w:szCs w:val="20"/>
        </w:rPr>
        <w:t xml:space="preserve"> das Verfassen wissenschaftlicher Arbeiten, Institut </w:t>
      </w:r>
      <w:proofErr w:type="spellStart"/>
      <w:r w:rsidRPr="000C7315">
        <w:rPr>
          <w:rFonts w:asciiTheme="minorHAnsi" w:hAnsiTheme="minorHAnsi" w:cstheme="minorHAnsi"/>
          <w:sz w:val="20"/>
          <w:szCs w:val="20"/>
        </w:rPr>
        <w:t>für</w:t>
      </w:r>
      <w:proofErr w:type="spellEnd"/>
      <w:r w:rsidRPr="000C7315">
        <w:rPr>
          <w:rFonts w:asciiTheme="minorHAnsi" w:hAnsiTheme="minorHAnsi" w:cstheme="minorHAnsi"/>
          <w:sz w:val="20"/>
          <w:szCs w:val="20"/>
        </w:rPr>
        <w:t xml:space="preserve"> Praxisforschung, Solothurn (Schweiz) [online]</w:t>
      </w:r>
      <w:r w:rsidRPr="000C7315">
        <w:rPr>
          <w:rFonts w:asciiTheme="minorHAnsi" w:hAnsiTheme="minorHAnsi" w:cstheme="minorHAnsi"/>
          <w:sz w:val="20"/>
          <w:szCs w:val="20"/>
        </w:rPr>
        <w:br/>
        <w:t>https://www.kuwi.europa-uni.de/de/lehrstuhl/lw/osteuropa/Medien/Harvard-Zitierweise.pdf</w:t>
      </w:r>
    </w:p>
    <w:p w:rsidR="00FA087B" w:rsidRPr="000C7315" w:rsidRDefault="00FA087B" w:rsidP="000C7315">
      <w:pPr>
        <w:pStyle w:val="Text"/>
        <w:widowControl w:val="0"/>
        <w:spacing w:line="240" w:lineRule="auto"/>
        <w:rPr>
          <w:rFonts w:asciiTheme="minorHAnsi" w:hAnsiTheme="minorHAnsi" w:cstheme="minorHAnsi"/>
          <w:sz w:val="20"/>
          <w:szCs w:val="20"/>
        </w:rPr>
      </w:pPr>
    </w:p>
    <w:p w:rsidR="00FA087B" w:rsidRPr="000C7315" w:rsidRDefault="00FA087B" w:rsidP="000C7315">
      <w:pPr>
        <w:pStyle w:val="berschrift"/>
        <w:widowControl w:val="0"/>
        <w:spacing w:before="480" w:after="240"/>
        <w:rPr>
          <w:rFonts w:asciiTheme="minorHAnsi" w:hAnsiTheme="minorHAnsi" w:cstheme="minorHAnsi"/>
        </w:rPr>
      </w:pPr>
      <w:r w:rsidRPr="000C7315">
        <w:rPr>
          <w:rFonts w:asciiTheme="minorHAnsi" w:hAnsiTheme="minorHAnsi" w:cstheme="minorHAnsi"/>
        </w:rPr>
        <w:t>Hinweise zur Hervorhebung</w:t>
      </w:r>
    </w:p>
    <w:p w:rsidR="00FA087B" w:rsidRPr="000C7315" w:rsidRDefault="00FA087B" w:rsidP="00FA087B">
      <w:pPr>
        <w:pStyle w:val="Text"/>
        <w:widowControl w:val="0"/>
        <w:rPr>
          <w:rFonts w:asciiTheme="minorHAnsi" w:hAnsiTheme="minorHAnsi" w:cstheme="minorHAnsi"/>
        </w:rPr>
      </w:pPr>
      <w:r w:rsidRPr="000C7315">
        <w:rPr>
          <w:rFonts w:asciiTheme="minorHAnsi" w:hAnsiTheme="minorHAnsi" w:cstheme="minorHAnsi"/>
        </w:rPr>
        <w:t xml:space="preserve">Hervorhebungen im Datum sollen wie im Original übernommen werden. Im Fließtext ist keine </w:t>
      </w:r>
      <w:r w:rsidRPr="000C7315">
        <w:rPr>
          <w:rFonts w:asciiTheme="minorHAnsi" w:hAnsiTheme="minorHAnsi" w:cstheme="minorHAnsi"/>
        </w:rPr>
        <w:lastRenderedPageBreak/>
        <w:t xml:space="preserve">Fettsetzung oder Unterstreichung vorgesehen, </w:t>
      </w:r>
      <w:proofErr w:type="spellStart"/>
      <w:r w:rsidRPr="000C7315">
        <w:rPr>
          <w:rFonts w:asciiTheme="minorHAnsi" w:hAnsiTheme="minorHAnsi" w:cstheme="minorHAnsi"/>
        </w:rPr>
        <w:t>Kursivierung</w:t>
      </w:r>
      <w:proofErr w:type="spellEnd"/>
      <w:r w:rsidRPr="000C7315">
        <w:rPr>
          <w:rFonts w:asciiTheme="minorHAnsi" w:hAnsiTheme="minorHAnsi" w:cstheme="minorHAnsi"/>
        </w:rPr>
        <w:t xml:space="preserve"> kann allerdings erfolgen.</w:t>
      </w:r>
    </w:p>
    <w:p w:rsidR="00FA087B" w:rsidRPr="000C7315" w:rsidRDefault="00FA087B" w:rsidP="00FA087B">
      <w:pPr>
        <w:pStyle w:val="Text"/>
        <w:widowControl w:val="0"/>
        <w:spacing w:line="240" w:lineRule="auto"/>
        <w:rPr>
          <w:rFonts w:asciiTheme="minorHAnsi" w:hAnsiTheme="minorHAnsi" w:cstheme="minorHAnsi"/>
          <w:sz w:val="20"/>
          <w:szCs w:val="20"/>
        </w:rPr>
      </w:pPr>
    </w:p>
    <w:p w:rsidR="00356161" w:rsidRPr="000C7315" w:rsidRDefault="007B4F4F">
      <w:pPr>
        <w:rPr>
          <w:rFonts w:asciiTheme="minorHAnsi" w:hAnsiTheme="minorHAnsi" w:cstheme="minorHAnsi"/>
          <w:lang w:val="de-DE"/>
        </w:rPr>
      </w:pPr>
    </w:p>
    <w:sectPr w:rsidR="00356161" w:rsidRPr="000C7315">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F4F" w:rsidRDefault="007B4F4F" w:rsidP="00FA087B">
      <w:r>
        <w:separator/>
      </w:r>
    </w:p>
  </w:endnote>
  <w:endnote w:type="continuationSeparator" w:id="0">
    <w:p w:rsidR="007B4F4F" w:rsidRDefault="007B4F4F" w:rsidP="00FA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Light">
    <w:altName w:val="Arial Nova Light"/>
    <w:charset w:val="00"/>
    <w:family w:val="auto"/>
    <w:pitch w:val="variable"/>
    <w:sig w:usb0="A00002FF" w:usb1="5000205B" w:usb2="00000002" w:usb3="00000000" w:csb0="00000007" w:csb1="00000000"/>
  </w:font>
  <w:font w:name="Helvetica Neue Medium">
    <w:charset w:val="4D"/>
    <w:family w:val="swiss"/>
    <w:pitch w:val="variable"/>
    <w:sig w:usb0="A00002FF" w:usb1="5000205B" w:usb2="00000002" w:usb3="00000000" w:csb0="0000009B"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315" w:rsidRDefault="000C73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859" w:rsidRDefault="007B4F4F">
    <w:pPr>
      <w:pStyle w:val="Kopf-undFuzeilen"/>
      <w:tabs>
        <w:tab w:val="clear" w:pos="9020"/>
        <w:tab w:val="center" w:pos="4819"/>
        <w:tab w:val="right" w:pos="9638"/>
      </w:tabs>
    </w:pPr>
  </w:p>
  <w:p w:rsidR="00D33999" w:rsidRDefault="00072149">
    <w:pPr>
      <w:pStyle w:val="Kopf-undFuzeilen"/>
      <w:tabs>
        <w:tab w:val="clear" w:pos="9020"/>
        <w:tab w:val="center" w:pos="4819"/>
        <w:tab w:val="right" w:pos="9638"/>
      </w:tabs>
    </w:pPr>
    <w:proofErr w:type="spellStart"/>
    <w:r>
      <w:t>datum</w:t>
    </w:r>
    <w:proofErr w:type="spellEnd"/>
    <w:r>
      <w:t xml:space="preserve"> &amp; </w:t>
    </w:r>
    <w:proofErr w:type="spellStart"/>
    <w:r>
      <w:t>diskurs</w:t>
    </w:r>
    <w:proofErr w:type="spellEnd"/>
    <w:r>
      <w:t xml:space="preserve"> (2019), </w:t>
    </w:r>
    <w:r w:rsidR="000C7315">
      <w:t>Hinweise zur Formatierung</w:t>
    </w:r>
    <w:r>
      <w:t xml:space="preserve"> </w:t>
    </w:r>
    <w:r w:rsidR="000C7315">
      <w:t>(07</w:t>
    </w:r>
    <w:r>
      <w:t>.0</w:t>
    </w:r>
    <w:r w:rsidR="000C7315">
      <w:t>9</w:t>
    </w:r>
    <w:r>
      <w:t>.2020)</w:t>
    </w:r>
    <w:r>
      <w:tab/>
    </w:r>
    <w:r w:rsidR="000C7315">
      <w:t xml:space="preserve"> </w:t>
    </w:r>
    <w:r>
      <w:t xml:space="preserve">Seite </w:t>
    </w:r>
    <w:r>
      <w:fldChar w:fldCharType="begin"/>
    </w:r>
    <w:r>
      <w:instrText xml:space="preserve"> PAGE </w:instrText>
    </w:r>
    <w:r>
      <w:fldChar w:fldCharType="separate"/>
    </w:r>
    <w:r>
      <w:rPr>
        <w:noProof/>
      </w:rPr>
      <w:t>3</w:t>
    </w:r>
    <w:r>
      <w:fldChar w:fldCharType="end"/>
    </w:r>
    <w:r>
      <w:t xml:space="preserve"> von </w:t>
    </w:r>
    <w:r>
      <w:rPr>
        <w:noProof/>
      </w:rPr>
      <w:fldChar w:fldCharType="begin"/>
    </w:r>
    <w:r>
      <w:rPr>
        <w:noProof/>
      </w:rPr>
      <w:instrText xml:space="preserve"> NUMPAGES </w:instrText>
    </w:r>
    <w:r>
      <w:rPr>
        <w:noProof/>
      </w:rPr>
      <w:fldChar w:fldCharType="separate"/>
    </w:r>
    <w:r>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315" w:rsidRDefault="000C73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F4F" w:rsidRDefault="007B4F4F" w:rsidP="00FA087B">
      <w:r>
        <w:separator/>
      </w:r>
    </w:p>
  </w:footnote>
  <w:footnote w:type="continuationSeparator" w:id="0">
    <w:p w:rsidR="007B4F4F" w:rsidRDefault="007B4F4F" w:rsidP="00FA0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315" w:rsidRDefault="000C73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999" w:rsidRPr="000C7315" w:rsidRDefault="00072149">
    <w:pPr>
      <w:pStyle w:val="Kopf-undFuzeilen"/>
      <w:tabs>
        <w:tab w:val="clear" w:pos="9020"/>
        <w:tab w:val="center" w:pos="4819"/>
        <w:tab w:val="right" w:pos="9638"/>
      </w:tabs>
      <w:spacing w:line="192" w:lineRule="auto"/>
      <w:rPr>
        <w:rFonts w:ascii="Calibri" w:hAnsi="Calibri" w:cs="Calibri"/>
      </w:rPr>
    </w:pPr>
    <w:r w:rsidRPr="000C7315">
      <w:rPr>
        <w:rFonts w:ascii="Calibri" w:hAnsi="Calibri" w:cs="Calibri"/>
        <w:b/>
        <w:bCs/>
        <w:i w:val="0"/>
      </w:rPr>
      <w:t>________________________________________________________________________________________________________________________</w:t>
    </w:r>
    <w:r w:rsidRPr="000C7315">
      <w:rPr>
        <w:rFonts w:ascii="Calibri" w:hAnsi="Calibri" w:cs="Calibri"/>
        <w:b/>
        <w:bCs/>
      </w:rPr>
      <w:br/>
    </w:r>
    <w:proofErr w:type="spellStart"/>
    <w:r w:rsidRPr="000C7315">
      <w:rPr>
        <w:rFonts w:ascii="Calibri" w:hAnsi="Calibri" w:cs="Calibri"/>
        <w:b/>
        <w:bCs/>
      </w:rPr>
      <w:t>datum</w:t>
    </w:r>
    <w:proofErr w:type="spellEnd"/>
    <w:r w:rsidRPr="000C7315">
      <w:rPr>
        <w:rFonts w:ascii="Calibri" w:eastAsia="Helvetica Neue" w:hAnsi="Calibri" w:cs="Calibri"/>
        <w:b/>
        <w:bCs/>
      </w:rPr>
      <w:br/>
    </w:r>
    <w:r w:rsidRPr="000C7315">
      <w:rPr>
        <w:rFonts w:ascii="Calibri" w:hAnsi="Calibri" w:cs="Calibri"/>
        <w:b/>
        <w:bCs/>
      </w:rPr>
      <w:t>&amp;</w:t>
    </w:r>
    <w:proofErr w:type="spellStart"/>
    <w:r w:rsidRPr="000C7315">
      <w:rPr>
        <w:rFonts w:ascii="Calibri" w:hAnsi="Calibri" w:cs="Calibri"/>
        <w:b/>
        <w:bCs/>
      </w:rPr>
      <w:t>diskurs</w:t>
    </w:r>
    <w:proofErr w:type="spellEnd"/>
    <w:r w:rsidRPr="000C7315">
      <w:rPr>
        <w:rFonts w:ascii="Calibri" w:hAnsi="Calibri" w:cs="Calibri"/>
        <w:b/>
        <w:bCs/>
      </w:rPr>
      <w:t xml:space="preserve"> </w:t>
    </w:r>
    <w:r w:rsidRPr="000C7315">
      <w:rPr>
        <w:rFonts w:ascii="Calibri" w:hAnsi="Calibri" w:cs="Calibri"/>
      </w:rPr>
      <w:t xml:space="preserve">            </w:t>
    </w:r>
  </w:p>
  <w:p w:rsidR="00D33999" w:rsidRPr="000C7315" w:rsidRDefault="00072149" w:rsidP="00C71132">
    <w:pPr>
      <w:pStyle w:val="Kopf-undFuzeilen"/>
      <w:tabs>
        <w:tab w:val="clear" w:pos="9020"/>
        <w:tab w:val="center" w:pos="4819"/>
        <w:tab w:val="right" w:pos="9638"/>
      </w:tabs>
      <w:spacing w:after="240"/>
      <w:rPr>
        <w:rFonts w:ascii="Calibri" w:hAnsi="Calibri" w:cs="Calibri"/>
      </w:rPr>
    </w:pPr>
    <w:r w:rsidRPr="000C7315">
      <w:rPr>
        <w:rFonts w:ascii="Calibri" w:hAnsi="Calibri" w:cs="Calibri"/>
      </w:rPr>
      <w:tab/>
    </w:r>
    <w:r w:rsidR="00FA087B" w:rsidRPr="000C7315">
      <w:rPr>
        <w:rFonts w:ascii="Calibri" w:hAnsi="Calibri" w:cs="Calibri"/>
      </w:rPr>
      <w:t>Hinweise zur Formatierung</w:t>
    </w:r>
  </w:p>
  <w:p w:rsidR="001E51D0" w:rsidRPr="000C7315" w:rsidRDefault="007B4F4F" w:rsidP="00C71132">
    <w:pPr>
      <w:pStyle w:val="Kopf-undFuzeilen"/>
      <w:tabs>
        <w:tab w:val="clear" w:pos="9020"/>
        <w:tab w:val="center" w:pos="4819"/>
        <w:tab w:val="right" w:pos="9638"/>
      </w:tabs>
      <w:spacing w:after="240"/>
      <w:rPr>
        <w:rFonts w:ascii="Calibri" w:hAnsi="Calibri" w:cs="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315" w:rsidRDefault="000C731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87B"/>
    <w:rsid w:val="00072149"/>
    <w:rsid w:val="000C7315"/>
    <w:rsid w:val="00213FDF"/>
    <w:rsid w:val="00327F47"/>
    <w:rsid w:val="003C7250"/>
    <w:rsid w:val="0045412D"/>
    <w:rsid w:val="006A1653"/>
    <w:rsid w:val="00743487"/>
    <w:rsid w:val="007B4F4F"/>
    <w:rsid w:val="009862B8"/>
    <w:rsid w:val="00BC0554"/>
    <w:rsid w:val="00BF5840"/>
    <w:rsid w:val="00D1370C"/>
    <w:rsid w:val="00D94119"/>
    <w:rsid w:val="00FA08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A81F"/>
  <w14:defaultImageDpi w14:val="32767"/>
  <w15:chartTrackingRefBased/>
  <w15:docId w15:val="{9956798A-522E-6C46-93FB-BC7F43A0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A087B"/>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undFuzeilen">
    <w:name w:val="Kopf- und Fußzeilen"/>
    <w:rsid w:val="00FA087B"/>
    <w:pPr>
      <w:pBdr>
        <w:top w:val="nil"/>
        <w:left w:val="nil"/>
        <w:bottom w:val="nil"/>
        <w:right w:val="nil"/>
        <w:between w:val="nil"/>
        <w:bar w:val="nil"/>
      </w:pBdr>
      <w:tabs>
        <w:tab w:val="right" w:pos="9020"/>
      </w:tabs>
    </w:pPr>
    <w:rPr>
      <w:rFonts w:ascii="Helvetica Neue Light" w:eastAsia="Arial Unicode MS" w:hAnsi="Helvetica Neue Light" w:cs="Arial Unicode MS"/>
      <w:i/>
      <w:iCs/>
      <w:color w:val="000000"/>
      <w:sz w:val="16"/>
      <w:szCs w:val="16"/>
      <w:bdr w:val="nil"/>
      <w:lang w:eastAsia="de-DE"/>
    </w:rPr>
  </w:style>
  <w:style w:type="paragraph" w:customStyle="1" w:styleId="Text">
    <w:name w:val="Text"/>
    <w:rsid w:val="00FA087B"/>
    <w:pPr>
      <w:pBdr>
        <w:top w:val="nil"/>
        <w:left w:val="nil"/>
        <w:bottom w:val="nil"/>
        <w:right w:val="nil"/>
        <w:between w:val="nil"/>
        <w:bar w:val="nil"/>
      </w:pBdr>
      <w:spacing w:line="288" w:lineRule="auto"/>
    </w:pPr>
    <w:rPr>
      <w:rFonts w:ascii="Helvetica Neue Light" w:eastAsia="Arial Unicode MS" w:hAnsi="Helvetica Neue Light" w:cs="Arial Unicode MS"/>
      <w:color w:val="000000"/>
      <w:bdr w:val="nil"/>
      <w:lang w:eastAsia="de-DE"/>
    </w:rPr>
  </w:style>
  <w:style w:type="paragraph" w:customStyle="1" w:styleId="berschrift">
    <w:name w:val="Überschrift"/>
    <w:next w:val="Text"/>
    <w:rsid w:val="00FA087B"/>
    <w:pPr>
      <w:keepNext/>
      <w:pBdr>
        <w:top w:val="nil"/>
        <w:left w:val="nil"/>
        <w:bottom w:val="nil"/>
        <w:right w:val="nil"/>
        <w:between w:val="nil"/>
        <w:bar w:val="nil"/>
      </w:pBdr>
      <w:outlineLvl w:val="0"/>
    </w:pPr>
    <w:rPr>
      <w:rFonts w:ascii="Helvetica Neue Medium" w:eastAsia="Arial Unicode MS" w:hAnsi="Helvetica Neue Medium" w:cs="Arial Unicode MS"/>
      <w:color w:val="000000"/>
      <w:sz w:val="28"/>
      <w:szCs w:val="28"/>
      <w:bdr w:val="nil"/>
      <w:lang w:eastAsia="de-DE"/>
    </w:rPr>
  </w:style>
  <w:style w:type="paragraph" w:styleId="Kopfzeile">
    <w:name w:val="header"/>
    <w:basedOn w:val="Standard"/>
    <w:link w:val="KopfzeileZchn"/>
    <w:uiPriority w:val="99"/>
    <w:unhideWhenUsed/>
    <w:rsid w:val="00FA087B"/>
    <w:pPr>
      <w:tabs>
        <w:tab w:val="center" w:pos="4536"/>
        <w:tab w:val="right" w:pos="9072"/>
      </w:tabs>
    </w:pPr>
  </w:style>
  <w:style w:type="character" w:customStyle="1" w:styleId="KopfzeileZchn">
    <w:name w:val="Kopfzeile Zchn"/>
    <w:basedOn w:val="Absatz-Standardschriftart"/>
    <w:link w:val="Kopfzeile"/>
    <w:uiPriority w:val="99"/>
    <w:rsid w:val="00FA087B"/>
    <w:rPr>
      <w:rFonts w:ascii="Times New Roman" w:eastAsia="Arial Unicode MS" w:hAnsi="Times New Roman" w:cs="Times New Roman"/>
      <w:bdr w:val="nil"/>
      <w:lang w:val="en-US"/>
    </w:rPr>
  </w:style>
  <w:style w:type="paragraph" w:styleId="Fuzeile">
    <w:name w:val="footer"/>
    <w:basedOn w:val="Standard"/>
    <w:link w:val="FuzeileZchn"/>
    <w:uiPriority w:val="99"/>
    <w:unhideWhenUsed/>
    <w:rsid w:val="00FA087B"/>
    <w:pPr>
      <w:tabs>
        <w:tab w:val="center" w:pos="4536"/>
        <w:tab w:val="right" w:pos="9072"/>
      </w:tabs>
    </w:pPr>
  </w:style>
  <w:style w:type="character" w:customStyle="1" w:styleId="FuzeileZchn">
    <w:name w:val="Fußzeile Zchn"/>
    <w:basedOn w:val="Absatz-Standardschriftart"/>
    <w:link w:val="Fuzeile"/>
    <w:uiPriority w:val="99"/>
    <w:rsid w:val="00FA087B"/>
    <w:rPr>
      <w:rFonts w:ascii="Times New Roman" w:eastAsia="Arial Unicode MS" w:hAnsi="Times New Roman" w:cs="Times New Roman"/>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Sascha Kabel</cp:lastModifiedBy>
  <cp:revision>2</cp:revision>
  <dcterms:created xsi:type="dcterms:W3CDTF">2020-09-15T12:49:00Z</dcterms:created>
  <dcterms:modified xsi:type="dcterms:W3CDTF">2020-09-15T12:49:00Z</dcterms:modified>
</cp:coreProperties>
</file>